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C47C9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47C93">
        <w:rPr>
          <w:rFonts w:ascii="Arial" w:hAnsi="Arial" w:cs="Arial"/>
          <w:sz w:val="20"/>
          <w:szCs w:val="20"/>
        </w:rPr>
        <w:t>29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47C93" w:rsidRPr="00C47C93">
        <w:rPr>
          <w:rFonts w:ascii="Arial" w:hAnsi="Arial" w:cs="Arial"/>
          <w:sz w:val="20"/>
          <w:szCs w:val="20"/>
        </w:rPr>
        <w:t>Binhdinh</w:t>
      </w:r>
      <w:proofErr w:type="spellEnd"/>
      <w:r w:rsidR="00C47C93" w:rsidRPr="00C47C93">
        <w:rPr>
          <w:rFonts w:ascii="Arial" w:hAnsi="Arial" w:cs="Arial"/>
          <w:sz w:val="20"/>
          <w:szCs w:val="20"/>
        </w:rPr>
        <w:t xml:space="preserve"> Water Supply and Sewerage Joint Stock Company</w:t>
      </w:r>
      <w:r w:rsidR="00C47C93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C47C93">
        <w:rPr>
          <w:rFonts w:ascii="Arial" w:hAnsi="Arial" w:cs="Arial"/>
          <w:sz w:val="20"/>
          <w:szCs w:val="20"/>
        </w:rPr>
        <w:t xml:space="preserve">pprove the Charter of </w:t>
      </w:r>
      <w:proofErr w:type="spellStart"/>
      <w:r w:rsidRPr="00C47C93">
        <w:rPr>
          <w:rFonts w:ascii="Arial" w:hAnsi="Arial" w:cs="Arial"/>
          <w:sz w:val="20"/>
          <w:szCs w:val="20"/>
        </w:rPr>
        <w:t>Binhdinh</w:t>
      </w:r>
      <w:proofErr w:type="spellEnd"/>
      <w:r w:rsidRPr="00C47C93">
        <w:rPr>
          <w:rFonts w:ascii="Arial" w:hAnsi="Arial" w:cs="Arial"/>
          <w:sz w:val="20"/>
          <w:szCs w:val="20"/>
        </w:rPr>
        <w:t xml:space="preserve"> Water Supply and Sewerage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C47C93">
        <w:rPr>
          <w:rFonts w:ascii="Arial" w:hAnsi="Arial" w:cs="Arial"/>
          <w:sz w:val="20"/>
          <w:szCs w:val="20"/>
        </w:rPr>
        <w:t xml:space="preserve">as the draft content of the </w:t>
      </w:r>
      <w:r>
        <w:rPr>
          <w:rFonts w:ascii="Arial" w:hAnsi="Arial" w:cs="Arial"/>
          <w:sz w:val="20"/>
          <w:szCs w:val="20"/>
        </w:rPr>
        <w:t>Board of Directors to</w:t>
      </w:r>
      <w:r w:rsidRPr="00C47C93">
        <w:rPr>
          <w:rFonts w:ascii="Arial" w:hAnsi="Arial" w:cs="Arial"/>
          <w:sz w:val="20"/>
          <w:szCs w:val="20"/>
        </w:rPr>
        <w:t xml:space="preserve"> submit to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</w:t>
      </w:r>
      <w:r w:rsidRPr="00C47C93">
        <w:rPr>
          <w:rFonts w:ascii="Arial" w:hAnsi="Arial" w:cs="Arial"/>
          <w:sz w:val="20"/>
          <w:szCs w:val="20"/>
        </w:rPr>
        <w:t xml:space="preserve">pprove </w:t>
      </w:r>
      <w:r>
        <w:rPr>
          <w:rFonts w:ascii="Arial" w:hAnsi="Arial" w:cs="Arial"/>
          <w:sz w:val="20"/>
          <w:szCs w:val="20"/>
        </w:rPr>
        <w:t>the</w:t>
      </w:r>
      <w:r w:rsidRPr="00C47C93">
        <w:rPr>
          <w:rFonts w:ascii="Arial" w:hAnsi="Arial" w:cs="Arial"/>
          <w:sz w:val="20"/>
          <w:szCs w:val="20"/>
        </w:rPr>
        <w:t xml:space="preserve"> internal management Regulation of </w:t>
      </w:r>
      <w:proofErr w:type="spellStart"/>
      <w:r w:rsidRPr="00C47C93">
        <w:rPr>
          <w:rFonts w:ascii="Arial" w:hAnsi="Arial" w:cs="Arial"/>
          <w:sz w:val="20"/>
          <w:szCs w:val="20"/>
        </w:rPr>
        <w:t>Binhdinh</w:t>
      </w:r>
      <w:proofErr w:type="spellEnd"/>
      <w:r w:rsidRPr="00C47C93">
        <w:rPr>
          <w:rFonts w:ascii="Arial" w:hAnsi="Arial" w:cs="Arial"/>
          <w:sz w:val="20"/>
          <w:szCs w:val="20"/>
        </w:rPr>
        <w:t xml:space="preserve"> Water Supply and Sewerage Joint Stock Company as the draft content of the </w:t>
      </w:r>
      <w:r>
        <w:rPr>
          <w:rFonts w:ascii="Arial" w:hAnsi="Arial" w:cs="Arial"/>
          <w:sz w:val="20"/>
          <w:szCs w:val="20"/>
        </w:rPr>
        <w:t>Board of Directors to</w:t>
      </w:r>
      <w:r w:rsidRPr="00C47C93">
        <w:rPr>
          <w:rFonts w:ascii="Arial" w:hAnsi="Arial" w:cs="Arial"/>
          <w:sz w:val="20"/>
          <w:szCs w:val="20"/>
        </w:rPr>
        <w:t xml:space="preserve"> submit to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C47C93">
        <w:rPr>
          <w:rFonts w:ascii="Arial" w:hAnsi="Arial" w:cs="Arial"/>
          <w:sz w:val="20"/>
          <w:szCs w:val="20"/>
        </w:rPr>
        <w:t xml:space="preserve"> Approving the results of election of members of the Board of</w:t>
      </w:r>
      <w:r>
        <w:rPr>
          <w:rFonts w:ascii="Arial" w:hAnsi="Arial" w:cs="Arial"/>
          <w:sz w:val="20"/>
          <w:szCs w:val="20"/>
        </w:rPr>
        <w:t xml:space="preserve"> Directors for the term of 2020-2</w:t>
      </w:r>
      <w:r w:rsidRPr="00C47C93">
        <w:rPr>
          <w:rFonts w:ascii="Arial" w:hAnsi="Arial" w:cs="Arial"/>
          <w:sz w:val="20"/>
          <w:szCs w:val="20"/>
        </w:rPr>
        <w:t xml:space="preserve">025, including the following names: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C9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C47C93">
        <w:rPr>
          <w:rFonts w:ascii="Arial" w:hAnsi="Arial" w:cs="Arial"/>
          <w:sz w:val="20"/>
          <w:szCs w:val="20"/>
        </w:rPr>
        <w:t xml:space="preserve"> Nguyen Van Chau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C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C47C93">
        <w:rPr>
          <w:rFonts w:ascii="Arial" w:hAnsi="Arial" w:cs="Arial"/>
          <w:sz w:val="20"/>
          <w:szCs w:val="20"/>
        </w:rPr>
        <w:t xml:space="preserve"> Le Thanh Cuong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C9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C47C93">
        <w:rPr>
          <w:rFonts w:ascii="Arial" w:hAnsi="Arial" w:cs="Arial"/>
          <w:sz w:val="20"/>
          <w:szCs w:val="20"/>
        </w:rPr>
        <w:t xml:space="preserve"> Le Tien Dung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47C93">
        <w:rPr>
          <w:rFonts w:ascii="Arial" w:hAnsi="Arial" w:cs="Arial"/>
          <w:sz w:val="20"/>
          <w:szCs w:val="20"/>
        </w:rPr>
        <w:t xml:space="preserve">Phan </w:t>
      </w:r>
      <w:proofErr w:type="spellStart"/>
      <w:r w:rsidRPr="00C47C93">
        <w:rPr>
          <w:rFonts w:ascii="Arial" w:hAnsi="Arial" w:cs="Arial"/>
          <w:sz w:val="20"/>
          <w:szCs w:val="20"/>
        </w:rPr>
        <w:t>Dinh</w:t>
      </w:r>
      <w:proofErr w:type="spellEnd"/>
      <w:r w:rsidRPr="00C47C93">
        <w:rPr>
          <w:rFonts w:ascii="Arial" w:hAnsi="Arial" w:cs="Arial"/>
          <w:sz w:val="20"/>
          <w:szCs w:val="20"/>
        </w:rPr>
        <w:t xml:space="preserve"> Tan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47C93">
        <w:rPr>
          <w:rFonts w:ascii="Arial" w:hAnsi="Arial" w:cs="Arial"/>
          <w:sz w:val="20"/>
          <w:szCs w:val="20"/>
        </w:rPr>
        <w:t xml:space="preserve">Ngo Thi Hong Van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C47C93">
        <w:rPr>
          <w:rFonts w:ascii="Arial" w:hAnsi="Arial" w:cs="Arial"/>
          <w:sz w:val="20"/>
          <w:szCs w:val="20"/>
        </w:rPr>
        <w:t xml:space="preserve"> Approving the election of members of the Supervisory Board for the term 2020-2025</w:t>
      </w:r>
      <w:r>
        <w:rPr>
          <w:rFonts w:ascii="Arial" w:hAnsi="Arial" w:cs="Arial"/>
          <w:sz w:val="20"/>
          <w:szCs w:val="20"/>
        </w:rPr>
        <w:t>,</w:t>
      </w:r>
      <w:r w:rsidRPr="00C47C93">
        <w:rPr>
          <w:rFonts w:ascii="Arial" w:hAnsi="Arial" w:cs="Arial"/>
          <w:sz w:val="20"/>
          <w:szCs w:val="20"/>
        </w:rPr>
        <w:t xml:space="preserve"> including the following names: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47C93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C47C93">
        <w:rPr>
          <w:rFonts w:ascii="Arial" w:hAnsi="Arial" w:cs="Arial"/>
          <w:sz w:val="20"/>
          <w:szCs w:val="20"/>
        </w:rPr>
        <w:t>Phu</w:t>
      </w:r>
      <w:proofErr w:type="spellEnd"/>
      <w:r w:rsidRPr="00C47C93">
        <w:rPr>
          <w:rFonts w:ascii="Arial" w:hAnsi="Arial" w:cs="Arial"/>
          <w:sz w:val="20"/>
          <w:szCs w:val="20"/>
        </w:rPr>
        <w:t xml:space="preserve"> Cuong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47C93">
        <w:rPr>
          <w:rFonts w:ascii="Arial" w:hAnsi="Arial" w:cs="Arial"/>
          <w:sz w:val="20"/>
          <w:szCs w:val="20"/>
        </w:rPr>
        <w:t xml:space="preserve">Huynh Thi </w:t>
      </w:r>
      <w:proofErr w:type="spellStart"/>
      <w:r w:rsidRPr="00C47C93">
        <w:rPr>
          <w:rFonts w:ascii="Arial" w:hAnsi="Arial" w:cs="Arial"/>
          <w:sz w:val="20"/>
          <w:szCs w:val="20"/>
        </w:rPr>
        <w:t>Giao</w:t>
      </w:r>
      <w:proofErr w:type="spellEnd"/>
      <w:r w:rsidRPr="00C47C93">
        <w:rPr>
          <w:rFonts w:ascii="Arial" w:hAnsi="Arial" w:cs="Arial"/>
          <w:sz w:val="20"/>
          <w:szCs w:val="20"/>
        </w:rPr>
        <w:t xml:space="preserve">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47C93">
        <w:rPr>
          <w:rFonts w:ascii="Arial" w:hAnsi="Arial" w:cs="Arial"/>
          <w:sz w:val="20"/>
          <w:szCs w:val="20"/>
        </w:rPr>
        <w:t xml:space="preserve">Tran Nguyen </w:t>
      </w:r>
      <w:proofErr w:type="spellStart"/>
      <w:r w:rsidRPr="00C47C93">
        <w:rPr>
          <w:rFonts w:ascii="Arial" w:hAnsi="Arial" w:cs="Arial"/>
          <w:sz w:val="20"/>
          <w:szCs w:val="20"/>
        </w:rPr>
        <w:t>Hanh</w:t>
      </w:r>
      <w:proofErr w:type="spellEnd"/>
      <w:r w:rsidRPr="00C47C93">
        <w:rPr>
          <w:rFonts w:ascii="Arial" w:hAnsi="Arial" w:cs="Arial"/>
          <w:sz w:val="20"/>
          <w:szCs w:val="20"/>
        </w:rPr>
        <w:t xml:space="preserve"> Lan 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</w:t>
      </w:r>
      <w:r w:rsidRPr="00C47C93"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report on operation situation in 2019, the term of 2015-</w:t>
      </w:r>
      <w:r w:rsidRPr="00C47C93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and operation plan of the Board of Directors</w:t>
      </w:r>
    </w:p>
    <w:p w:rsidR="00C47C93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</w:t>
      </w:r>
      <w:r w:rsidRPr="00C47C93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>report on operation situation in 2019</w:t>
      </w:r>
      <w:r w:rsidRPr="00C47C93">
        <w:rPr>
          <w:rFonts w:ascii="Arial" w:hAnsi="Arial" w:cs="Arial"/>
          <w:sz w:val="20"/>
          <w:szCs w:val="20"/>
        </w:rPr>
        <w:t xml:space="preserve">, term </w:t>
      </w:r>
      <w:r>
        <w:rPr>
          <w:rFonts w:ascii="Arial" w:hAnsi="Arial" w:cs="Arial"/>
          <w:sz w:val="20"/>
          <w:szCs w:val="20"/>
        </w:rPr>
        <w:t xml:space="preserve">of 2015-2020 of the Supervisor Board </w:t>
      </w:r>
    </w:p>
    <w:p w:rsidR="00824C8E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Approve</w:t>
      </w:r>
      <w:r w:rsidRPr="00C47C93">
        <w:rPr>
          <w:rFonts w:ascii="Arial" w:hAnsi="Arial" w:cs="Arial"/>
          <w:sz w:val="20"/>
          <w:szCs w:val="20"/>
        </w:rPr>
        <w:t xml:space="preserve"> the production and business results in 201</w:t>
      </w:r>
      <w:r w:rsidR="00824C8E">
        <w:rPr>
          <w:rFonts w:ascii="Arial" w:hAnsi="Arial" w:cs="Arial"/>
          <w:sz w:val="20"/>
          <w:szCs w:val="20"/>
        </w:rPr>
        <w:t xml:space="preserve">9, the 2019 financial statement verified by the independent auditing unit and Supervisor Board </w:t>
      </w:r>
      <w:r w:rsidRPr="00C47C93">
        <w:rPr>
          <w:rFonts w:ascii="Arial" w:hAnsi="Arial" w:cs="Arial"/>
          <w:sz w:val="20"/>
          <w:szCs w:val="20"/>
        </w:rPr>
        <w:t xml:space="preserve">as follows: </w:t>
      </w:r>
    </w:p>
    <w:p w:rsidR="00824C8E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C93">
        <w:rPr>
          <w:rFonts w:ascii="Arial" w:hAnsi="Arial" w:cs="Arial"/>
          <w:sz w:val="20"/>
          <w:szCs w:val="20"/>
        </w:rPr>
        <w:t xml:space="preserve">- Total revenue: </w:t>
      </w:r>
      <w:r w:rsidR="00824C8E" w:rsidRPr="00C47C93">
        <w:rPr>
          <w:rFonts w:ascii="Arial" w:hAnsi="Arial" w:cs="Arial"/>
          <w:sz w:val="20"/>
          <w:szCs w:val="20"/>
        </w:rPr>
        <w:t xml:space="preserve">VND </w:t>
      </w:r>
      <w:r w:rsidRPr="00C47C93">
        <w:rPr>
          <w:rFonts w:ascii="Arial" w:hAnsi="Arial" w:cs="Arial"/>
          <w:sz w:val="20"/>
          <w:szCs w:val="20"/>
        </w:rPr>
        <w:t>211,171,160,658</w:t>
      </w:r>
    </w:p>
    <w:p w:rsidR="00C11B90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C93">
        <w:rPr>
          <w:rFonts w:ascii="Arial" w:hAnsi="Arial" w:cs="Arial"/>
          <w:sz w:val="20"/>
          <w:szCs w:val="20"/>
        </w:rPr>
        <w:t xml:space="preserve">- Total cost: </w:t>
      </w:r>
      <w:r w:rsidR="00824C8E" w:rsidRPr="00C47C93">
        <w:rPr>
          <w:rFonts w:ascii="Arial" w:hAnsi="Arial" w:cs="Arial"/>
          <w:sz w:val="20"/>
          <w:szCs w:val="20"/>
        </w:rPr>
        <w:t>VND</w:t>
      </w:r>
      <w:r w:rsidR="00824C8E">
        <w:rPr>
          <w:rFonts w:ascii="Arial" w:hAnsi="Arial" w:cs="Arial"/>
          <w:sz w:val="20"/>
          <w:szCs w:val="20"/>
        </w:rPr>
        <w:t xml:space="preserve"> </w:t>
      </w:r>
      <w:r w:rsidRPr="00C47C93">
        <w:rPr>
          <w:rFonts w:ascii="Arial" w:hAnsi="Arial" w:cs="Arial"/>
          <w:sz w:val="20"/>
          <w:szCs w:val="20"/>
        </w:rPr>
        <w:t>185,350,232,122</w:t>
      </w:r>
    </w:p>
    <w:p w:rsidR="00C11B90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C93">
        <w:rPr>
          <w:rFonts w:ascii="Arial" w:hAnsi="Arial" w:cs="Arial"/>
          <w:sz w:val="20"/>
          <w:szCs w:val="20"/>
        </w:rPr>
        <w:lastRenderedPageBreak/>
        <w:t xml:space="preserve">- </w:t>
      </w:r>
      <w:r w:rsidR="00C11B90">
        <w:rPr>
          <w:rFonts w:ascii="Arial" w:hAnsi="Arial" w:cs="Arial"/>
          <w:sz w:val="20"/>
          <w:szCs w:val="20"/>
        </w:rPr>
        <w:t>P</w:t>
      </w:r>
      <w:r w:rsidRPr="00C47C93">
        <w:rPr>
          <w:rFonts w:ascii="Arial" w:hAnsi="Arial" w:cs="Arial"/>
          <w:sz w:val="20"/>
          <w:szCs w:val="20"/>
        </w:rPr>
        <w:t>rofit before tax</w:t>
      </w:r>
      <w:r w:rsidR="00C11B90">
        <w:rPr>
          <w:rFonts w:ascii="Arial" w:hAnsi="Arial" w:cs="Arial"/>
          <w:sz w:val="20"/>
          <w:szCs w:val="20"/>
        </w:rPr>
        <w:t>: VND</w:t>
      </w:r>
      <w:r w:rsidRPr="00C47C93">
        <w:rPr>
          <w:rFonts w:ascii="Arial" w:hAnsi="Arial" w:cs="Arial"/>
          <w:sz w:val="20"/>
          <w:szCs w:val="20"/>
        </w:rPr>
        <w:t xml:space="preserve"> 25,820,928,536 </w:t>
      </w:r>
    </w:p>
    <w:p w:rsidR="00C11B90" w:rsidRDefault="00C11B90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tax: VND 20,621,914,829</w:t>
      </w:r>
    </w:p>
    <w:p w:rsidR="00C11B90" w:rsidRDefault="00C11B90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</w:t>
      </w:r>
      <w:r w:rsidR="00C47C93" w:rsidRPr="00C47C93">
        <w:rPr>
          <w:rFonts w:ascii="Arial" w:hAnsi="Arial" w:cs="Arial"/>
          <w:sz w:val="20"/>
          <w:szCs w:val="20"/>
        </w:rPr>
        <w:t>rofit after tax</w:t>
      </w:r>
      <w:r>
        <w:rPr>
          <w:rFonts w:ascii="Arial" w:hAnsi="Arial" w:cs="Arial"/>
          <w:sz w:val="20"/>
          <w:szCs w:val="20"/>
        </w:rPr>
        <w:t>/charter capital</w:t>
      </w:r>
      <w:r w:rsidR="00C47C93" w:rsidRPr="00C47C93">
        <w:rPr>
          <w:rFonts w:ascii="Arial" w:hAnsi="Arial" w:cs="Arial"/>
          <w:sz w:val="20"/>
          <w:szCs w:val="20"/>
        </w:rPr>
        <w:t xml:space="preserve">: 16.62% </w:t>
      </w:r>
    </w:p>
    <w:p w:rsidR="00C11B90" w:rsidRDefault="00C47C93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7C93">
        <w:rPr>
          <w:rFonts w:ascii="Arial" w:hAnsi="Arial" w:cs="Arial"/>
          <w:sz w:val="20"/>
          <w:szCs w:val="20"/>
        </w:rPr>
        <w:t>- Dividend</w:t>
      </w:r>
      <w:r w:rsidR="00C11B90">
        <w:rPr>
          <w:rFonts w:ascii="Arial" w:hAnsi="Arial" w:cs="Arial"/>
          <w:sz w:val="20"/>
          <w:szCs w:val="20"/>
        </w:rPr>
        <w:t xml:space="preserve">/charter capital: </w:t>
      </w:r>
      <w:r w:rsidRPr="00C47C93">
        <w:rPr>
          <w:rFonts w:ascii="Arial" w:hAnsi="Arial" w:cs="Arial"/>
          <w:sz w:val="20"/>
          <w:szCs w:val="20"/>
        </w:rPr>
        <w:t xml:space="preserve">5.00% </w:t>
      </w:r>
    </w:p>
    <w:p w:rsidR="00C47C93" w:rsidRDefault="00C11B90" w:rsidP="00C47C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="00C47C93" w:rsidRPr="00C47C93">
        <w:rPr>
          <w:rFonts w:ascii="Arial" w:hAnsi="Arial" w:cs="Arial"/>
          <w:sz w:val="20"/>
          <w:szCs w:val="20"/>
        </w:rPr>
        <w:t xml:space="preserve"> Approve the dis</w:t>
      </w:r>
      <w:r>
        <w:rPr>
          <w:rFonts w:ascii="Arial" w:hAnsi="Arial" w:cs="Arial"/>
          <w:sz w:val="20"/>
          <w:szCs w:val="20"/>
        </w:rPr>
        <w:t>tribution of after-tax profit of</w:t>
      </w:r>
      <w:r w:rsidR="00C47C93" w:rsidRPr="00C47C93">
        <w:rPr>
          <w:rFonts w:ascii="Arial" w:hAnsi="Arial" w:cs="Arial"/>
          <w:sz w:val="20"/>
          <w:szCs w:val="20"/>
        </w:rPr>
        <w:t xml:space="preserve"> 2019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287"/>
        <w:gridCol w:w="2628"/>
      </w:tblGrid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20,621,914,829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Distribution of after-tax profit 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16,516,357,415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2628" w:type="dxa"/>
          </w:tcPr>
          <w:p w:rsidR="00C11B90" w:rsidRDefault="004D70F9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2,062,191,</w:t>
            </w:r>
            <w:r w:rsidR="00C11B90" w:rsidRPr="00C11B90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8,248,765,932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Welfare fund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3,299,506,373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 fund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4,949,259,559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Reward fund to employees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4,808,859,559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Reward fund to the Management Board 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140,400,000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fund (5.0%/charter capital)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6,205,400,000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7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 of 2019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4,105,557,414</w:t>
            </w:r>
          </w:p>
        </w:tc>
      </w:tr>
      <w:tr w:rsidR="00C11B90" w:rsidTr="00C11B90">
        <w:tc>
          <w:tcPr>
            <w:tcW w:w="661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7" w:type="dxa"/>
          </w:tcPr>
          <w:p w:rsidR="00C11B90" w:rsidRDefault="00C11B90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undistributed profit carried over to the next year</w:t>
            </w:r>
          </w:p>
        </w:tc>
        <w:tc>
          <w:tcPr>
            <w:tcW w:w="2628" w:type="dxa"/>
          </w:tcPr>
          <w:p w:rsidR="00C11B90" w:rsidRDefault="00C11B90" w:rsidP="00C47C9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B90">
              <w:rPr>
                <w:rFonts w:ascii="Arial" w:hAnsi="Arial" w:cs="Arial"/>
                <w:sz w:val="20"/>
                <w:szCs w:val="20"/>
              </w:rPr>
              <w:t>7,417,149,077</w:t>
            </w:r>
          </w:p>
        </w:tc>
      </w:tr>
    </w:tbl>
    <w:p w:rsidR="00C11B90" w:rsidRDefault="00C11B90" w:rsidP="00C11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70F9" w:rsidRDefault="004D70F9" w:rsidP="00C11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9:</w:t>
      </w:r>
      <w:r w:rsidR="00C11B90" w:rsidRPr="00C11B90">
        <w:rPr>
          <w:rFonts w:ascii="Arial" w:hAnsi="Arial" w:cs="Arial"/>
          <w:sz w:val="20"/>
          <w:szCs w:val="20"/>
        </w:rPr>
        <w:t xml:space="preserve"> Approve the 2020 production and business plan as follows </w:t>
      </w:r>
    </w:p>
    <w:p w:rsidR="004D70F9" w:rsidRDefault="00C11B90" w:rsidP="00C11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1B90">
        <w:rPr>
          <w:rFonts w:ascii="Arial" w:hAnsi="Arial" w:cs="Arial"/>
          <w:sz w:val="20"/>
          <w:szCs w:val="20"/>
        </w:rPr>
        <w:t>- Total revenue</w:t>
      </w:r>
      <w:r w:rsidR="004D70F9">
        <w:rPr>
          <w:rFonts w:ascii="Arial" w:hAnsi="Arial" w:cs="Arial"/>
          <w:sz w:val="20"/>
          <w:szCs w:val="20"/>
        </w:rPr>
        <w:t>:</w:t>
      </w:r>
      <w:r w:rsidRPr="00C11B90">
        <w:rPr>
          <w:rFonts w:ascii="Arial" w:hAnsi="Arial" w:cs="Arial"/>
          <w:sz w:val="20"/>
          <w:szCs w:val="20"/>
        </w:rPr>
        <w:t xml:space="preserve"> </w:t>
      </w:r>
      <w:r w:rsidR="004D70F9" w:rsidRPr="00C11B90">
        <w:rPr>
          <w:rFonts w:ascii="Arial" w:hAnsi="Arial" w:cs="Arial"/>
          <w:sz w:val="20"/>
          <w:szCs w:val="20"/>
        </w:rPr>
        <w:t xml:space="preserve">VND </w:t>
      </w:r>
      <w:r w:rsidRPr="00C11B90">
        <w:rPr>
          <w:rFonts w:ascii="Arial" w:hAnsi="Arial" w:cs="Arial"/>
          <w:sz w:val="20"/>
          <w:szCs w:val="20"/>
        </w:rPr>
        <w:t>220,550 million</w:t>
      </w:r>
    </w:p>
    <w:p w:rsidR="004D70F9" w:rsidRDefault="004D70F9" w:rsidP="00C11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Total profit before tax:</w:t>
      </w:r>
      <w:r w:rsidR="00C11B90" w:rsidRPr="00C11B90">
        <w:rPr>
          <w:rFonts w:ascii="Arial" w:hAnsi="Arial" w:cs="Arial"/>
          <w:sz w:val="20"/>
          <w:szCs w:val="20"/>
        </w:rPr>
        <w:t xml:space="preserve"> VND 25,300 </w:t>
      </w:r>
      <w:r>
        <w:rPr>
          <w:rFonts w:ascii="Arial" w:hAnsi="Arial" w:cs="Arial"/>
          <w:sz w:val="20"/>
          <w:szCs w:val="20"/>
        </w:rPr>
        <w:t>million</w:t>
      </w:r>
    </w:p>
    <w:p w:rsidR="004D70F9" w:rsidRDefault="004D70F9" w:rsidP="00C11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tax/</w:t>
      </w:r>
      <w:r w:rsidR="00C11B90" w:rsidRPr="00C11B90">
        <w:rPr>
          <w:rFonts w:ascii="Arial" w:hAnsi="Arial" w:cs="Arial"/>
          <w:sz w:val="20"/>
          <w:szCs w:val="20"/>
        </w:rPr>
        <w:t xml:space="preserve">charter capital: 16.31% </w:t>
      </w:r>
    </w:p>
    <w:p w:rsidR="00C11B90" w:rsidRDefault="004D70F9" w:rsidP="00C11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Dividend/</w:t>
      </w:r>
      <w:r w:rsidR="00C11B90" w:rsidRPr="00C11B90">
        <w:rPr>
          <w:rFonts w:ascii="Arial" w:hAnsi="Arial" w:cs="Arial"/>
          <w:sz w:val="20"/>
          <w:szCs w:val="20"/>
        </w:rPr>
        <w:t>charter capital</w:t>
      </w:r>
      <w:r>
        <w:rPr>
          <w:rFonts w:ascii="Arial" w:hAnsi="Arial" w:cs="Arial"/>
          <w:sz w:val="20"/>
          <w:szCs w:val="20"/>
        </w:rPr>
        <w:t>: 5.5%</w:t>
      </w:r>
    </w:p>
    <w:p w:rsidR="004D70F9" w:rsidRDefault="004D70F9" w:rsidP="00C11B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10: Approve the plan on distribution of after-tax profit of 2020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6594"/>
        <w:gridCol w:w="2321"/>
      </w:tblGrid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594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32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4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2321" w:type="dxa"/>
          </w:tcPr>
          <w:p w:rsidR="004D70F9" w:rsidRDefault="004D70F9" w:rsidP="004D70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 xml:space="preserve">20,240,000,000  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94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Distribution of profit after tax</w:t>
            </w:r>
          </w:p>
        </w:tc>
        <w:tc>
          <w:tcPr>
            <w:tcW w:w="232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16,945,940,000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594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Development I</w:t>
            </w:r>
            <w:r>
              <w:rPr>
                <w:rFonts w:ascii="Arial" w:hAnsi="Arial" w:cs="Arial"/>
                <w:sz w:val="20"/>
                <w:szCs w:val="20"/>
              </w:rPr>
              <w:t>nvestment Fund (10% of profit of</w:t>
            </w:r>
            <w:r w:rsidRPr="004D70F9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232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2,024,000,000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594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Bonus an</w:t>
            </w:r>
            <w:r>
              <w:rPr>
                <w:rFonts w:ascii="Arial" w:hAnsi="Arial" w:cs="Arial"/>
                <w:sz w:val="20"/>
                <w:szCs w:val="20"/>
              </w:rPr>
              <w:t>d welfare fund (40% of profit of</w:t>
            </w:r>
            <w:r w:rsidRPr="004D70F9">
              <w:rPr>
                <w:rFonts w:ascii="Arial" w:hAnsi="Arial" w:cs="Arial"/>
                <w:sz w:val="20"/>
                <w:szCs w:val="20"/>
              </w:rPr>
              <w:t xml:space="preserve"> 2020)</w:t>
            </w:r>
          </w:p>
        </w:tc>
        <w:tc>
          <w:tcPr>
            <w:tcW w:w="232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8,096,000,000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2.3.1</w:t>
            </w:r>
          </w:p>
        </w:tc>
        <w:tc>
          <w:tcPr>
            <w:tcW w:w="6594" w:type="dxa"/>
          </w:tcPr>
          <w:p w:rsidR="004D70F9" w:rsidRDefault="004D70F9" w:rsidP="004D70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Welfare fund (40%</w:t>
            </w:r>
            <w:r>
              <w:rPr>
                <w:rFonts w:ascii="Arial" w:hAnsi="Arial" w:cs="Arial"/>
                <w:sz w:val="20"/>
                <w:szCs w:val="20"/>
              </w:rPr>
              <w:t xml:space="preserve"> of Welfare and Reward Fund</w:t>
            </w:r>
            <w:r w:rsidRPr="004D70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3,238,400,000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2.3.2</w:t>
            </w:r>
          </w:p>
        </w:tc>
        <w:tc>
          <w:tcPr>
            <w:tcW w:w="6594" w:type="dxa"/>
          </w:tcPr>
          <w:p w:rsidR="004D70F9" w:rsidRDefault="004D70F9" w:rsidP="004D70F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 xml:space="preserve">Reward fund (60% of </w:t>
            </w:r>
            <w:r>
              <w:rPr>
                <w:rFonts w:ascii="Arial" w:hAnsi="Arial" w:cs="Arial"/>
                <w:sz w:val="20"/>
                <w:szCs w:val="20"/>
              </w:rPr>
              <w:t>Welfare and Reward Fund</w:t>
            </w:r>
            <w:r w:rsidRPr="004D70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4,857,600,000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4" w:type="dxa"/>
          </w:tcPr>
          <w:p w:rsidR="004D70F9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D70F9">
              <w:rPr>
                <w:rFonts w:ascii="Arial" w:hAnsi="Arial" w:cs="Arial"/>
                <w:sz w:val="20"/>
                <w:szCs w:val="20"/>
              </w:rPr>
              <w:t>mployee reward fund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0F9">
              <w:rPr>
                <w:rFonts w:ascii="Arial" w:hAnsi="Arial" w:cs="Arial"/>
                <w:sz w:val="20"/>
                <w:szCs w:val="20"/>
              </w:rPr>
              <w:t xml:space="preserve">(94.8% of the 2020 </w:t>
            </w:r>
            <w:r>
              <w:rPr>
                <w:rFonts w:ascii="Arial" w:hAnsi="Arial" w:cs="Arial"/>
                <w:sz w:val="20"/>
                <w:szCs w:val="20"/>
              </w:rPr>
              <w:t>reward f</w:t>
            </w:r>
            <w:r w:rsidRPr="004D70F9">
              <w:rPr>
                <w:rFonts w:ascii="Arial" w:hAnsi="Arial" w:cs="Arial"/>
                <w:sz w:val="20"/>
                <w:szCs w:val="20"/>
              </w:rPr>
              <w:t>und)</w:t>
            </w:r>
          </w:p>
        </w:tc>
        <w:tc>
          <w:tcPr>
            <w:tcW w:w="2321" w:type="dxa"/>
          </w:tcPr>
          <w:p w:rsidR="004D70F9" w:rsidRDefault="00910D86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4,605,320,000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4" w:type="dxa"/>
          </w:tcPr>
          <w:p w:rsidR="004D70F9" w:rsidRDefault="00910D86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Bonus fund for the Management Board (5.2% of 2020 reward fund)</w:t>
            </w:r>
          </w:p>
        </w:tc>
        <w:tc>
          <w:tcPr>
            <w:tcW w:w="2321" w:type="dxa"/>
          </w:tcPr>
          <w:p w:rsidR="004D70F9" w:rsidRDefault="00910D86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252,280,</w:t>
            </w:r>
            <w:r w:rsidRPr="004D70F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594" w:type="dxa"/>
          </w:tcPr>
          <w:p w:rsidR="004D70F9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Dividend distribution fun</w:t>
            </w:r>
            <w:r>
              <w:rPr>
                <w:rFonts w:ascii="Arial" w:hAnsi="Arial" w:cs="Arial"/>
                <w:sz w:val="20"/>
                <w:szCs w:val="20"/>
              </w:rPr>
              <w:t>d (5.5%/</w:t>
            </w:r>
            <w:r w:rsidRPr="004D70F9">
              <w:rPr>
                <w:rFonts w:ascii="Arial" w:hAnsi="Arial" w:cs="Arial"/>
                <w:sz w:val="20"/>
                <w:szCs w:val="20"/>
              </w:rPr>
              <w:t>charter capital)</w:t>
            </w:r>
          </w:p>
        </w:tc>
        <w:tc>
          <w:tcPr>
            <w:tcW w:w="2321" w:type="dxa"/>
          </w:tcPr>
          <w:p w:rsidR="004D70F9" w:rsidRDefault="00910D86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6,825,940,000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4" w:type="dxa"/>
          </w:tcPr>
          <w:p w:rsidR="004D70F9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 of</w:t>
            </w:r>
            <w:r w:rsidRPr="004D70F9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2321" w:type="dxa"/>
          </w:tcPr>
          <w:p w:rsidR="004D70F9" w:rsidRDefault="00910D86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3,294,060,000</w:t>
            </w:r>
          </w:p>
        </w:tc>
      </w:tr>
      <w:tr w:rsidR="004D70F9" w:rsidTr="004D70F9">
        <w:tc>
          <w:tcPr>
            <w:tcW w:w="661" w:type="dxa"/>
          </w:tcPr>
          <w:p w:rsidR="004D70F9" w:rsidRDefault="004D70F9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94" w:type="dxa"/>
          </w:tcPr>
          <w:p w:rsidR="004D70F9" w:rsidRDefault="00910D86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Accumulated undistributed profit carried over to the next year</w:t>
            </w:r>
          </w:p>
        </w:tc>
        <w:tc>
          <w:tcPr>
            <w:tcW w:w="2321" w:type="dxa"/>
          </w:tcPr>
          <w:p w:rsidR="004D70F9" w:rsidRDefault="00910D86" w:rsidP="00C11B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0F9">
              <w:rPr>
                <w:rFonts w:ascii="Arial" w:hAnsi="Arial" w:cs="Arial"/>
                <w:sz w:val="20"/>
                <w:szCs w:val="20"/>
              </w:rPr>
              <w:t>10,711,209,077</w:t>
            </w:r>
          </w:p>
        </w:tc>
      </w:tr>
    </w:tbl>
    <w:p w:rsidR="004D70F9" w:rsidRDefault="004D70F9" w:rsidP="00910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10D86" w:rsidRDefault="00910D86" w:rsidP="00910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11: Approve the portfolio of 2020 as follows:</w:t>
      </w:r>
    </w:p>
    <w:p w:rsidR="00910D86" w:rsidRDefault="00910D86" w:rsidP="00910D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056"/>
        <w:gridCol w:w="1530"/>
        <w:gridCol w:w="1530"/>
        <w:gridCol w:w="1392"/>
        <w:gridCol w:w="1596"/>
      </w:tblGrid>
      <w:tr w:rsidR="00910D86" w:rsidTr="00731635">
        <w:tc>
          <w:tcPr>
            <w:tcW w:w="472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6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items, works</w:t>
            </w:r>
          </w:p>
        </w:tc>
        <w:tc>
          <w:tcPr>
            <w:tcW w:w="1530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 expected</w:t>
            </w:r>
          </w:p>
        </w:tc>
        <w:tc>
          <w:tcPr>
            <w:tcW w:w="1530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Realized until the end of 2019</w:t>
            </w:r>
          </w:p>
        </w:tc>
        <w:tc>
          <w:tcPr>
            <w:tcW w:w="1392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realization in 2020</w:t>
            </w:r>
          </w:p>
        </w:tc>
        <w:tc>
          <w:tcPr>
            <w:tcW w:w="1596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resources/ Note</w:t>
            </w:r>
          </w:p>
        </w:tc>
      </w:tr>
      <w:tr w:rsidR="00910D86" w:rsidTr="00731635">
        <w:tc>
          <w:tcPr>
            <w:tcW w:w="472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6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 xml:space="preserve">Improving water supply pipeline </w:t>
            </w:r>
            <w:r w:rsidR="00731635">
              <w:rPr>
                <w:rFonts w:ascii="Arial" w:hAnsi="Arial" w:cs="Arial"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D86">
              <w:rPr>
                <w:rFonts w:ascii="Arial" w:hAnsi="Arial" w:cs="Arial"/>
                <w:sz w:val="20"/>
                <w:szCs w:val="20"/>
              </w:rPr>
              <w:t xml:space="preserve">Thi </w:t>
            </w:r>
            <w:proofErr w:type="spellStart"/>
            <w:r w:rsidRPr="00910D86">
              <w:rPr>
                <w:rFonts w:ascii="Arial" w:hAnsi="Arial" w:cs="Arial"/>
                <w:sz w:val="20"/>
                <w:szCs w:val="20"/>
              </w:rPr>
              <w:t>Nai</w:t>
            </w:r>
            <w:proofErr w:type="spellEnd"/>
            <w:r w:rsidRPr="00910D86">
              <w:rPr>
                <w:rFonts w:ascii="Arial" w:hAnsi="Arial" w:cs="Arial"/>
                <w:sz w:val="20"/>
                <w:szCs w:val="20"/>
              </w:rPr>
              <w:t xml:space="preserve"> bridge</w:t>
            </w:r>
          </w:p>
        </w:tc>
        <w:tc>
          <w:tcPr>
            <w:tcW w:w="1530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530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392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2,600</w:t>
            </w:r>
          </w:p>
        </w:tc>
        <w:tc>
          <w:tcPr>
            <w:tcW w:w="1596" w:type="dxa"/>
          </w:tcPr>
          <w:p w:rsidR="00910D86" w:rsidRDefault="00910D86" w:rsidP="00910D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731635" w:rsidTr="00731635">
        <w:tc>
          <w:tcPr>
            <w:tcW w:w="47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KV1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10D86">
              <w:rPr>
                <w:rFonts w:ascii="Arial" w:hAnsi="Arial" w:cs="Arial"/>
                <w:sz w:val="20"/>
                <w:szCs w:val="20"/>
              </w:rPr>
              <w:t xml:space="preserve"> KV2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10D86">
              <w:rPr>
                <w:rFonts w:ascii="Arial" w:hAnsi="Arial" w:cs="Arial"/>
                <w:sz w:val="20"/>
                <w:szCs w:val="20"/>
              </w:rPr>
              <w:t>ater supply system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10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D86">
              <w:rPr>
                <w:rFonts w:ascii="Arial" w:hAnsi="Arial" w:cs="Arial"/>
                <w:sz w:val="20"/>
                <w:szCs w:val="20"/>
              </w:rPr>
              <w:t>Ghenh</w:t>
            </w:r>
            <w:proofErr w:type="spellEnd"/>
            <w:r w:rsidRPr="00910D86">
              <w:rPr>
                <w:rFonts w:ascii="Arial" w:hAnsi="Arial" w:cs="Arial"/>
                <w:sz w:val="20"/>
                <w:szCs w:val="20"/>
              </w:rPr>
              <w:t xml:space="preserve"> Rang ward and attractions  </w:t>
            </w:r>
            <w:r>
              <w:rPr>
                <w:rFonts w:ascii="Arial" w:hAnsi="Arial" w:cs="Arial"/>
                <w:sz w:val="20"/>
                <w:szCs w:val="20"/>
              </w:rPr>
              <w:t>along</w:t>
            </w:r>
            <w:r w:rsidRPr="00910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D86"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 w:rsidRPr="00910D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0D86"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  <w:r w:rsidRPr="00910D86">
              <w:rPr>
                <w:rFonts w:ascii="Arial" w:hAnsi="Arial" w:cs="Arial"/>
                <w:sz w:val="20"/>
                <w:szCs w:val="20"/>
              </w:rPr>
              <w:t xml:space="preserve"> - Song </w:t>
            </w:r>
            <w:proofErr w:type="spellStart"/>
            <w:r w:rsidRPr="00910D86">
              <w:rPr>
                <w:rFonts w:ascii="Arial" w:hAnsi="Arial" w:cs="Arial"/>
                <w:sz w:val="20"/>
                <w:szCs w:val="20"/>
              </w:rPr>
              <w:t>Cau</w:t>
            </w:r>
            <w:proofErr w:type="spellEnd"/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49,286</w:t>
            </w:r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10,101</w:t>
            </w:r>
          </w:p>
        </w:tc>
        <w:tc>
          <w:tcPr>
            <w:tcW w:w="139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34,000</w:t>
            </w:r>
          </w:p>
        </w:tc>
        <w:tc>
          <w:tcPr>
            <w:tcW w:w="159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loan (borrowing a maximum of VND 30 billion)</w:t>
            </w:r>
          </w:p>
        </w:tc>
      </w:tr>
      <w:tr w:rsidR="00731635" w:rsidTr="00731635">
        <w:tc>
          <w:tcPr>
            <w:tcW w:w="47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 xml:space="preserve">Water supply pipeline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Ly</w:t>
            </w:r>
            <w:r w:rsidRPr="00910D86">
              <w:rPr>
                <w:rFonts w:ascii="Arial" w:hAnsi="Arial" w:cs="Arial"/>
                <w:sz w:val="20"/>
                <w:szCs w:val="20"/>
              </w:rPr>
              <w:t xml:space="preserve"> commune</w:t>
            </w:r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9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731635" w:rsidTr="00731635">
        <w:tc>
          <w:tcPr>
            <w:tcW w:w="47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Water supply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for 7,8 area, Bui Thi Xuan ward and industrial cluster of Bui Thi Xuan ward</w:t>
            </w:r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47,000</w:t>
            </w:r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39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26,000</w:t>
            </w:r>
          </w:p>
        </w:tc>
        <w:tc>
          <w:tcPr>
            <w:tcW w:w="159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loan (borrowing a maximum of VND 18 billion)</w:t>
            </w:r>
          </w:p>
        </w:tc>
      </w:tr>
      <w:tr w:rsidR="00731635" w:rsidTr="00731635">
        <w:tc>
          <w:tcPr>
            <w:tcW w:w="47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Increasing capacity of the Treatment Plant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ward,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town from 1,550m3/ day to 2,900 m3/ day</w:t>
            </w:r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15,342</w:t>
            </w:r>
          </w:p>
        </w:tc>
        <w:tc>
          <w:tcPr>
            <w:tcW w:w="1530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10,463</w:t>
            </w:r>
          </w:p>
        </w:tc>
        <w:tc>
          <w:tcPr>
            <w:tcW w:w="1392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596" w:type="dxa"/>
          </w:tcPr>
          <w:p w:rsidR="00731635" w:rsidRDefault="00731635" w:rsidP="007316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Supplement the raw water resources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Tai water treatment plant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17,325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loan (borrowing a maximum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VND 4.9 billion)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Investment, innovation of water supply system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25,620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21,767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3,853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Investment, innovation of water supply system of water supply enterprises No.1 and No.2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58,000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11,602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loan (borrowing a maximum of VND 31.5 billion)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Building, innovating auxiliary items of the water supply system (fence, warehouse…)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the management system by ArcGIS and SCADA (stage 2)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Purchasing cranes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in building bottled water factory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3,570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3,570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capital</w:t>
            </w:r>
          </w:p>
        </w:tc>
      </w:tr>
      <w:tr w:rsidR="00596DB2" w:rsidTr="00731635">
        <w:tc>
          <w:tcPr>
            <w:tcW w:w="47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5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in building water supply factory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Becamex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residential area along Highway 19C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45,454</w:t>
            </w:r>
          </w:p>
        </w:tc>
        <w:tc>
          <w:tcPr>
            <w:tcW w:w="1530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392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596" w:type="dxa"/>
          </w:tcPr>
          <w:p w:rsidR="00596DB2" w:rsidRDefault="00596DB2" w:rsidP="00596DB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loan (borrowing a maximum of VND 10.5 billion)</w:t>
            </w:r>
          </w:p>
        </w:tc>
      </w:tr>
      <w:tr w:rsidR="004C0DD9" w:rsidTr="00731635">
        <w:tc>
          <w:tcPr>
            <w:tcW w:w="472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6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in replacing the water pipeline D400-500 from Km 0+029 to Km 17+144 along Highway 1D</w:t>
            </w:r>
          </w:p>
        </w:tc>
        <w:tc>
          <w:tcPr>
            <w:tcW w:w="1530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94,528</w:t>
            </w:r>
          </w:p>
        </w:tc>
        <w:tc>
          <w:tcPr>
            <w:tcW w:w="1530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96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0D86">
              <w:rPr>
                <w:rFonts w:ascii="Arial" w:hAnsi="Arial" w:cs="Arial"/>
                <w:sz w:val="20"/>
                <w:szCs w:val="20"/>
              </w:rPr>
              <w:t>Company capital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loan (borrowing a maximum of VND 10.5 billion)</w:t>
            </w:r>
          </w:p>
        </w:tc>
      </w:tr>
      <w:tr w:rsidR="004C0DD9" w:rsidTr="00731635">
        <w:tc>
          <w:tcPr>
            <w:tcW w:w="472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374,625</w:t>
            </w:r>
          </w:p>
        </w:tc>
        <w:tc>
          <w:tcPr>
            <w:tcW w:w="1530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56,773</w:t>
            </w:r>
          </w:p>
        </w:tc>
        <w:tc>
          <w:tcPr>
            <w:tcW w:w="1392" w:type="dxa"/>
          </w:tcPr>
          <w:p w:rsidR="004C0DD9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155,023</w:t>
            </w:r>
          </w:p>
        </w:tc>
        <w:tc>
          <w:tcPr>
            <w:tcW w:w="1596" w:type="dxa"/>
          </w:tcPr>
          <w:p w:rsidR="004C0DD9" w:rsidRPr="00910D86" w:rsidRDefault="004C0DD9" w:rsidP="004C0D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D86" w:rsidRDefault="00910D86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12: Approval of</w:t>
      </w:r>
      <w:r w:rsidRPr="004C0DD9">
        <w:rPr>
          <w:rFonts w:ascii="Arial" w:hAnsi="Arial" w:cs="Arial"/>
          <w:sz w:val="20"/>
          <w:szCs w:val="20"/>
        </w:rPr>
        <w:t xml:space="preserve"> authorizing the Board of Directors to decide on the selection of an independent auditing company t</w:t>
      </w:r>
      <w:r>
        <w:rPr>
          <w:rFonts w:ascii="Arial" w:hAnsi="Arial" w:cs="Arial"/>
          <w:sz w:val="20"/>
          <w:szCs w:val="20"/>
        </w:rPr>
        <w:t>o audit the financial statement of</w:t>
      </w:r>
      <w:r w:rsidRPr="004C0DD9">
        <w:rPr>
          <w:rFonts w:ascii="Arial" w:hAnsi="Arial" w:cs="Arial"/>
          <w:sz w:val="20"/>
          <w:szCs w:val="20"/>
        </w:rPr>
        <w:t xml:space="preserve"> 2020 of the Company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Article 13: </w:t>
      </w:r>
      <w:r w:rsidRPr="004C0DD9">
        <w:rPr>
          <w:rFonts w:ascii="Arial" w:hAnsi="Arial" w:cs="Arial"/>
          <w:sz w:val="20"/>
          <w:szCs w:val="20"/>
        </w:rPr>
        <w:t xml:space="preserve">Approve the contents of labor, salary, remuneration and bonus for 2019 as follows: 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DD9">
        <w:rPr>
          <w:rFonts w:ascii="Arial" w:hAnsi="Arial" w:cs="Arial"/>
          <w:sz w:val="20"/>
          <w:szCs w:val="20"/>
        </w:rPr>
        <w:t>- Th</w:t>
      </w:r>
      <w:r>
        <w:rPr>
          <w:rFonts w:ascii="Arial" w:hAnsi="Arial" w:cs="Arial"/>
          <w:sz w:val="20"/>
          <w:szCs w:val="20"/>
        </w:rPr>
        <w:t>e average number of employees: 458 people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DD9">
        <w:rPr>
          <w:rFonts w:ascii="Arial" w:hAnsi="Arial" w:cs="Arial"/>
          <w:sz w:val="20"/>
          <w:szCs w:val="20"/>
        </w:rPr>
        <w:t>- Salary fund o</w:t>
      </w:r>
      <w:r>
        <w:rPr>
          <w:rFonts w:ascii="Arial" w:hAnsi="Arial" w:cs="Arial"/>
          <w:sz w:val="20"/>
          <w:szCs w:val="20"/>
        </w:rPr>
        <w:t>f employees: VND 50,646,338,911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DD9">
        <w:rPr>
          <w:rFonts w:ascii="Arial" w:hAnsi="Arial" w:cs="Arial"/>
          <w:sz w:val="20"/>
          <w:szCs w:val="20"/>
        </w:rPr>
        <w:t xml:space="preserve">- Salary fund of </w:t>
      </w:r>
      <w:r>
        <w:rPr>
          <w:rFonts w:ascii="Arial" w:hAnsi="Arial" w:cs="Arial"/>
          <w:sz w:val="20"/>
          <w:szCs w:val="20"/>
        </w:rPr>
        <w:t>full-time</w:t>
      </w:r>
      <w:r w:rsidRPr="004C0DD9">
        <w:rPr>
          <w:rFonts w:ascii="Arial" w:hAnsi="Arial" w:cs="Arial"/>
          <w:sz w:val="20"/>
          <w:szCs w:val="20"/>
        </w:rPr>
        <w:t xml:space="preserve"> manager</w:t>
      </w:r>
      <w:r>
        <w:rPr>
          <w:rFonts w:ascii="Arial" w:hAnsi="Arial" w:cs="Arial"/>
          <w:sz w:val="20"/>
          <w:szCs w:val="20"/>
        </w:rPr>
        <w:t>s: VND 1,123,200,000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DD9">
        <w:rPr>
          <w:rFonts w:ascii="Arial" w:hAnsi="Arial" w:cs="Arial"/>
          <w:sz w:val="20"/>
          <w:szCs w:val="20"/>
        </w:rPr>
        <w:t xml:space="preserve">- Remuneration fund for </w:t>
      </w:r>
      <w:r>
        <w:rPr>
          <w:rFonts w:ascii="Arial" w:hAnsi="Arial" w:cs="Arial"/>
          <w:sz w:val="20"/>
          <w:szCs w:val="20"/>
        </w:rPr>
        <w:t xml:space="preserve">part-time </w:t>
      </w:r>
      <w:r w:rsidRPr="004C0DD9">
        <w:rPr>
          <w:rFonts w:ascii="Arial" w:hAnsi="Arial" w:cs="Arial"/>
          <w:sz w:val="20"/>
          <w:szCs w:val="20"/>
        </w:rPr>
        <w:t xml:space="preserve">managers: </w:t>
      </w:r>
      <w:r>
        <w:rPr>
          <w:rFonts w:ascii="Arial" w:hAnsi="Arial" w:cs="Arial"/>
          <w:sz w:val="20"/>
          <w:szCs w:val="20"/>
        </w:rPr>
        <w:t xml:space="preserve">VND </w:t>
      </w:r>
      <w:r w:rsidRPr="004C0DD9">
        <w:rPr>
          <w:rFonts w:ascii="Arial" w:hAnsi="Arial" w:cs="Arial"/>
          <w:sz w:val="20"/>
          <w:szCs w:val="20"/>
        </w:rPr>
        <w:t xml:space="preserve">374,400,000 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14: A</w:t>
      </w:r>
      <w:r w:rsidRPr="004C0DD9">
        <w:rPr>
          <w:rFonts w:ascii="Arial" w:hAnsi="Arial" w:cs="Arial"/>
          <w:sz w:val="20"/>
          <w:szCs w:val="20"/>
        </w:rPr>
        <w:t xml:space="preserve">pprove the labor employment plan, </w:t>
      </w:r>
      <w:r>
        <w:rPr>
          <w:rFonts w:ascii="Arial" w:hAnsi="Arial" w:cs="Arial"/>
          <w:sz w:val="20"/>
          <w:szCs w:val="20"/>
        </w:rPr>
        <w:t>establishment of</w:t>
      </w:r>
      <w:r w:rsidRPr="004C0DD9">
        <w:rPr>
          <w:rFonts w:ascii="Arial" w:hAnsi="Arial" w:cs="Arial"/>
          <w:sz w:val="20"/>
          <w:szCs w:val="20"/>
        </w:rPr>
        <w:t xml:space="preserve"> the salary</w:t>
      </w:r>
      <w:r>
        <w:rPr>
          <w:rFonts w:ascii="Arial" w:hAnsi="Arial" w:cs="Arial"/>
          <w:sz w:val="20"/>
          <w:szCs w:val="20"/>
        </w:rPr>
        <w:t>, remuneration and bonus plan for</w:t>
      </w:r>
      <w:r w:rsidRPr="004C0DD9">
        <w:rPr>
          <w:rFonts w:ascii="Arial" w:hAnsi="Arial" w:cs="Arial"/>
          <w:sz w:val="20"/>
          <w:szCs w:val="20"/>
        </w:rPr>
        <w:t xml:space="preserve"> 2020 as follows: 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DD9">
        <w:rPr>
          <w:rFonts w:ascii="Arial" w:hAnsi="Arial" w:cs="Arial"/>
          <w:sz w:val="20"/>
          <w:szCs w:val="20"/>
        </w:rPr>
        <w:t>- Th</w:t>
      </w:r>
      <w:r>
        <w:rPr>
          <w:rFonts w:ascii="Arial" w:hAnsi="Arial" w:cs="Arial"/>
          <w:sz w:val="20"/>
          <w:szCs w:val="20"/>
        </w:rPr>
        <w:t>e average number of employees: 434 people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Salary fund for</w:t>
      </w:r>
      <w:r w:rsidRPr="004C0DD9">
        <w:rPr>
          <w:rFonts w:ascii="Arial" w:hAnsi="Arial" w:cs="Arial"/>
          <w:sz w:val="20"/>
          <w:szCs w:val="20"/>
        </w:rPr>
        <w:t xml:space="preserve"> employees: </w:t>
      </w:r>
      <w:r>
        <w:rPr>
          <w:rFonts w:ascii="Arial" w:hAnsi="Arial" w:cs="Arial"/>
          <w:sz w:val="20"/>
          <w:szCs w:val="20"/>
        </w:rPr>
        <w:t xml:space="preserve">VND </w:t>
      </w:r>
      <w:r w:rsidRPr="004C0DD9">
        <w:rPr>
          <w:rFonts w:ascii="Arial" w:hAnsi="Arial" w:cs="Arial"/>
          <w:sz w:val="20"/>
          <w:szCs w:val="20"/>
        </w:rPr>
        <w:t xml:space="preserve">48,045,120,000 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DD9">
        <w:rPr>
          <w:rFonts w:ascii="Arial" w:hAnsi="Arial" w:cs="Arial"/>
          <w:sz w:val="20"/>
          <w:szCs w:val="20"/>
        </w:rPr>
        <w:t xml:space="preserve">- Salary fund of full-time managers: </w:t>
      </w:r>
      <w:r>
        <w:rPr>
          <w:rFonts w:ascii="Arial" w:hAnsi="Arial" w:cs="Arial"/>
          <w:sz w:val="20"/>
          <w:szCs w:val="20"/>
        </w:rPr>
        <w:t xml:space="preserve">VND </w:t>
      </w:r>
      <w:r w:rsidRPr="004C0DD9">
        <w:rPr>
          <w:rFonts w:ascii="Arial" w:hAnsi="Arial" w:cs="Arial"/>
          <w:sz w:val="20"/>
          <w:szCs w:val="20"/>
        </w:rPr>
        <w:t xml:space="preserve">2,018,240,000 </w:t>
      </w:r>
    </w:p>
    <w:p w:rsidR="004C0DD9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0DD9">
        <w:rPr>
          <w:rFonts w:ascii="Arial" w:hAnsi="Arial" w:cs="Arial"/>
          <w:sz w:val="20"/>
          <w:szCs w:val="20"/>
        </w:rPr>
        <w:t xml:space="preserve">- Remuneration fund for </w:t>
      </w:r>
      <w:r>
        <w:rPr>
          <w:rFonts w:ascii="Arial" w:hAnsi="Arial" w:cs="Arial"/>
          <w:sz w:val="20"/>
          <w:szCs w:val="20"/>
        </w:rPr>
        <w:t>full-time managers: VND 308,100,000</w:t>
      </w:r>
    </w:p>
    <w:p w:rsidR="00E13F43" w:rsidRDefault="004C0DD9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15: Approval of</w:t>
      </w:r>
      <w:r w:rsidRPr="004C0DD9">
        <w:rPr>
          <w:rFonts w:ascii="Arial" w:hAnsi="Arial" w:cs="Arial"/>
          <w:sz w:val="20"/>
          <w:szCs w:val="20"/>
        </w:rPr>
        <w:t xml:space="preserve"> continuing authorization for the Board of Directors to complete the listing of shares of the</w:t>
      </w:r>
      <w:r w:rsidR="00E13F43">
        <w:rPr>
          <w:rFonts w:ascii="Arial" w:hAnsi="Arial" w:cs="Arial"/>
          <w:sz w:val="20"/>
          <w:szCs w:val="20"/>
        </w:rPr>
        <w:t xml:space="preserve"> Company on the stock market at Ho Chi Minh Stock Exchange</w:t>
      </w:r>
    </w:p>
    <w:p w:rsidR="00E13F43" w:rsidRDefault="00E13F43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16:</w:t>
      </w:r>
      <w:r w:rsidR="004C0DD9" w:rsidRPr="004C0D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annual General Mandate takes effect on June 29, 2020</w:t>
      </w:r>
    </w:p>
    <w:p w:rsidR="004C0DD9" w:rsidRPr="00910D86" w:rsidRDefault="00E13F43" w:rsidP="00731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17:</w:t>
      </w:r>
      <w:r w:rsidR="004C0DD9" w:rsidRPr="004C0DD9">
        <w:rPr>
          <w:rFonts w:ascii="Arial" w:hAnsi="Arial" w:cs="Arial"/>
          <w:sz w:val="20"/>
          <w:szCs w:val="20"/>
        </w:rPr>
        <w:t xml:space="preserve"> Members of the Board of Directors, the </w:t>
      </w:r>
      <w:r>
        <w:rPr>
          <w:rFonts w:ascii="Arial" w:hAnsi="Arial" w:cs="Arial"/>
          <w:sz w:val="20"/>
          <w:szCs w:val="20"/>
        </w:rPr>
        <w:t>Supervisor Board</w:t>
      </w:r>
      <w:r w:rsidR="004C0DD9" w:rsidRPr="004C0DD9">
        <w:rPr>
          <w:rFonts w:ascii="Arial" w:hAnsi="Arial" w:cs="Arial"/>
          <w:sz w:val="20"/>
          <w:szCs w:val="20"/>
        </w:rPr>
        <w:t xml:space="preserve">, the </w:t>
      </w:r>
      <w:r>
        <w:rPr>
          <w:rFonts w:ascii="Arial" w:hAnsi="Arial" w:cs="Arial"/>
          <w:sz w:val="20"/>
          <w:szCs w:val="20"/>
        </w:rPr>
        <w:t>Management Board</w:t>
      </w:r>
      <w:r w:rsidR="004C0DD9" w:rsidRPr="004C0DD9">
        <w:rPr>
          <w:rFonts w:ascii="Arial" w:hAnsi="Arial" w:cs="Arial"/>
          <w:sz w:val="20"/>
          <w:szCs w:val="20"/>
        </w:rPr>
        <w:t xml:space="preserve"> and the entire shareholders of </w:t>
      </w:r>
      <w:proofErr w:type="spellStart"/>
      <w:r w:rsidRPr="00E13F43">
        <w:rPr>
          <w:rFonts w:ascii="Arial" w:hAnsi="Arial" w:cs="Arial"/>
          <w:sz w:val="20"/>
          <w:szCs w:val="20"/>
        </w:rPr>
        <w:t>Binhdinh</w:t>
      </w:r>
      <w:proofErr w:type="spellEnd"/>
      <w:r w:rsidRPr="00E13F43">
        <w:rPr>
          <w:rFonts w:ascii="Arial" w:hAnsi="Arial" w:cs="Arial"/>
          <w:sz w:val="20"/>
          <w:szCs w:val="20"/>
        </w:rPr>
        <w:t xml:space="preserve"> Water Supply and Sewerage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="004C0DD9" w:rsidRPr="004C0DD9">
        <w:rPr>
          <w:rFonts w:ascii="Arial" w:hAnsi="Arial" w:cs="Arial"/>
          <w:sz w:val="20"/>
          <w:szCs w:val="20"/>
        </w:rPr>
        <w:t xml:space="preserve">are responsible for implementing this </w:t>
      </w:r>
      <w:r w:rsidR="00662A01">
        <w:rPr>
          <w:rFonts w:ascii="Arial" w:hAnsi="Arial" w:cs="Arial"/>
          <w:sz w:val="20"/>
          <w:szCs w:val="20"/>
        </w:rPr>
        <w:t>annual General Mandate.</w:t>
      </w:r>
      <w:bookmarkStart w:id="0" w:name="_GoBack"/>
      <w:bookmarkEnd w:id="0"/>
    </w:p>
    <w:sectPr w:rsidR="004C0DD9" w:rsidRPr="0091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A6CE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0DD9"/>
    <w:rsid w:val="004C144F"/>
    <w:rsid w:val="004D70F9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6DB2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A01"/>
    <w:rsid w:val="00662E88"/>
    <w:rsid w:val="00664834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4C8E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66EA5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940B5"/>
    <w:rsid w:val="00C97B83"/>
    <w:rsid w:val="00CA0AB7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3F43"/>
    <w:rsid w:val="00E17016"/>
    <w:rsid w:val="00E20A0F"/>
    <w:rsid w:val="00E24F0A"/>
    <w:rsid w:val="00E27923"/>
    <w:rsid w:val="00E313AB"/>
    <w:rsid w:val="00E35884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E5D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332</cp:revision>
  <dcterms:created xsi:type="dcterms:W3CDTF">2019-10-16T10:03:00Z</dcterms:created>
  <dcterms:modified xsi:type="dcterms:W3CDTF">2020-07-07T06:22:00Z</dcterms:modified>
</cp:coreProperties>
</file>